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7"/>
        <w:gridCol w:w="5590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3648DF32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E46110">
              <w:rPr>
                <w:b/>
                <w:sz w:val="28"/>
              </w:rPr>
              <w:t xml:space="preserve"> Psychology </w:t>
            </w:r>
            <w:r w:rsidR="00E53EF4">
              <w:rPr>
                <w:b/>
                <w:sz w:val="28"/>
              </w:rPr>
              <w:t xml:space="preserve">A level </w:t>
            </w:r>
            <w:bookmarkStart w:id="0" w:name="_GoBack"/>
            <w:bookmarkEnd w:id="0"/>
          </w:p>
          <w:p w14:paraId="2D0A48BB" w14:textId="4527785F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  <w:r w:rsidR="00E46110">
              <w:rPr>
                <w:b/>
                <w:sz w:val="28"/>
              </w:rPr>
              <w:t xml:space="preserve"> AQA </w:t>
            </w:r>
          </w:p>
        </w:tc>
      </w:tr>
      <w:tr w:rsidR="001D04BB" w14:paraId="06FE3422" w14:textId="77777777" w:rsidTr="00E46110">
        <w:trPr>
          <w:trHeight w:val="298"/>
        </w:trPr>
        <w:tc>
          <w:tcPr>
            <w:tcW w:w="2667" w:type="dxa"/>
          </w:tcPr>
          <w:p w14:paraId="6C9562BB" w14:textId="318A8AD2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0" w:type="dxa"/>
          </w:tcPr>
          <w:p w14:paraId="39F98563" w14:textId="6A71267D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347EFEB5" w14:textId="0F2BDD66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Revision Guide Pages</w:t>
            </w:r>
          </w:p>
        </w:tc>
      </w:tr>
      <w:tr w:rsidR="001D04BB" w14:paraId="07875EA2" w14:textId="77777777" w:rsidTr="00382F09">
        <w:trPr>
          <w:trHeight w:val="281"/>
        </w:trPr>
        <w:tc>
          <w:tcPr>
            <w:tcW w:w="2667" w:type="dxa"/>
            <w:vMerge w:val="restart"/>
            <w:shd w:val="clear" w:color="auto" w:fill="CCECFF"/>
          </w:tcPr>
          <w:p w14:paraId="10E83EF4" w14:textId="29AF25E8" w:rsidR="001D04BB" w:rsidRPr="0009077E" w:rsidRDefault="00E46110" w:rsidP="0009077E">
            <w:pPr>
              <w:rPr>
                <w:b/>
                <w:sz w:val="24"/>
              </w:rPr>
            </w:pPr>
            <w:r w:rsidRPr="0009077E">
              <w:rPr>
                <w:b/>
                <w:sz w:val="24"/>
              </w:rPr>
              <w:t>Biopsychology</w:t>
            </w:r>
          </w:p>
        </w:tc>
        <w:tc>
          <w:tcPr>
            <w:tcW w:w="5590" w:type="dxa"/>
            <w:shd w:val="clear" w:color="auto" w:fill="CCECFF"/>
          </w:tcPr>
          <w:p w14:paraId="38C3C47F" w14:textId="5A1AF856" w:rsidR="001D04BB" w:rsidRDefault="00E46110">
            <w:r>
              <w:t xml:space="preserve">The nervous system </w:t>
            </w:r>
          </w:p>
        </w:tc>
        <w:tc>
          <w:tcPr>
            <w:tcW w:w="2409" w:type="dxa"/>
            <w:shd w:val="clear" w:color="auto" w:fill="CCECFF"/>
          </w:tcPr>
          <w:p w14:paraId="49561C45" w14:textId="5B19EF9B" w:rsidR="001D04BB" w:rsidRDefault="00E46110">
            <w:r>
              <w:t>26</w:t>
            </w:r>
          </w:p>
        </w:tc>
      </w:tr>
      <w:tr w:rsidR="001D04BB" w14:paraId="25ABD9AB" w14:textId="77777777" w:rsidTr="00382F09">
        <w:trPr>
          <w:trHeight w:val="298"/>
        </w:trPr>
        <w:tc>
          <w:tcPr>
            <w:tcW w:w="2667" w:type="dxa"/>
            <w:vMerge/>
            <w:shd w:val="clear" w:color="auto" w:fill="CCECFF"/>
          </w:tcPr>
          <w:p w14:paraId="6F461EFA" w14:textId="5A84B72C" w:rsidR="001D04BB" w:rsidRPr="0009077E" w:rsidRDefault="001D04BB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CCECFF"/>
          </w:tcPr>
          <w:p w14:paraId="701F4A83" w14:textId="765A712F" w:rsidR="001D04BB" w:rsidRDefault="00E46110">
            <w:r>
              <w:t xml:space="preserve">The structure and function of neurones </w:t>
            </w:r>
          </w:p>
        </w:tc>
        <w:tc>
          <w:tcPr>
            <w:tcW w:w="2409" w:type="dxa"/>
            <w:shd w:val="clear" w:color="auto" w:fill="CCECFF"/>
          </w:tcPr>
          <w:p w14:paraId="7B7A80CB" w14:textId="06B51B5A" w:rsidR="001D04BB" w:rsidRDefault="00E46110">
            <w:r>
              <w:t>28</w:t>
            </w:r>
          </w:p>
        </w:tc>
      </w:tr>
      <w:tr w:rsidR="001D04BB" w14:paraId="7F7DBF40" w14:textId="77777777" w:rsidTr="00382F09">
        <w:trPr>
          <w:trHeight w:val="281"/>
        </w:trPr>
        <w:tc>
          <w:tcPr>
            <w:tcW w:w="2667" w:type="dxa"/>
            <w:vMerge/>
            <w:shd w:val="clear" w:color="auto" w:fill="CCECFF"/>
          </w:tcPr>
          <w:p w14:paraId="4CCA3A94" w14:textId="508B1078" w:rsidR="001D04BB" w:rsidRPr="0009077E" w:rsidRDefault="001D04BB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CCECFF"/>
          </w:tcPr>
          <w:p w14:paraId="05362838" w14:textId="6CE70829" w:rsidR="001D04BB" w:rsidRDefault="00E46110">
            <w:r>
              <w:t xml:space="preserve">Localisation of function in the brain </w:t>
            </w:r>
          </w:p>
        </w:tc>
        <w:tc>
          <w:tcPr>
            <w:tcW w:w="2409" w:type="dxa"/>
            <w:shd w:val="clear" w:color="auto" w:fill="CCECFF"/>
          </w:tcPr>
          <w:p w14:paraId="09B1A7C4" w14:textId="1D4E431E" w:rsidR="001D04BB" w:rsidRDefault="00E46110">
            <w:r>
              <w:t>30</w:t>
            </w:r>
          </w:p>
        </w:tc>
      </w:tr>
      <w:tr w:rsidR="001D04BB" w14:paraId="23854065" w14:textId="77777777" w:rsidTr="00382F09">
        <w:trPr>
          <w:trHeight w:val="298"/>
        </w:trPr>
        <w:tc>
          <w:tcPr>
            <w:tcW w:w="2667" w:type="dxa"/>
            <w:vMerge/>
            <w:shd w:val="clear" w:color="auto" w:fill="CCECFF"/>
          </w:tcPr>
          <w:p w14:paraId="161EEB2B" w14:textId="347831FD" w:rsidR="001D04BB" w:rsidRPr="0009077E" w:rsidRDefault="001D04BB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CCECFF"/>
          </w:tcPr>
          <w:p w14:paraId="3B30A045" w14:textId="0D09FD8E" w:rsidR="001D04BB" w:rsidRDefault="00E46110">
            <w:r>
              <w:t xml:space="preserve">Plasticity and functional recovery of the brain </w:t>
            </w:r>
          </w:p>
        </w:tc>
        <w:tc>
          <w:tcPr>
            <w:tcW w:w="2409" w:type="dxa"/>
            <w:shd w:val="clear" w:color="auto" w:fill="CCECFF"/>
          </w:tcPr>
          <w:p w14:paraId="53815420" w14:textId="5E71A625" w:rsidR="001D04BB" w:rsidRDefault="00E46110">
            <w:r>
              <w:t>32</w:t>
            </w:r>
          </w:p>
        </w:tc>
      </w:tr>
      <w:tr w:rsidR="001D04BB" w14:paraId="752B0085" w14:textId="77777777" w:rsidTr="00382F09">
        <w:trPr>
          <w:trHeight w:val="298"/>
        </w:trPr>
        <w:tc>
          <w:tcPr>
            <w:tcW w:w="2667" w:type="dxa"/>
            <w:vMerge/>
            <w:shd w:val="clear" w:color="auto" w:fill="CCECFF"/>
          </w:tcPr>
          <w:p w14:paraId="6C59E99E" w14:textId="47F5EDE7" w:rsidR="001D04BB" w:rsidRPr="0009077E" w:rsidRDefault="001D04BB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CCECFF"/>
          </w:tcPr>
          <w:p w14:paraId="50644DF5" w14:textId="5350E7CF" w:rsidR="001D04BB" w:rsidRDefault="00E46110">
            <w:r>
              <w:t xml:space="preserve">Split- brain research into hemispheric lateralisation </w:t>
            </w:r>
          </w:p>
        </w:tc>
        <w:tc>
          <w:tcPr>
            <w:tcW w:w="2409" w:type="dxa"/>
            <w:shd w:val="clear" w:color="auto" w:fill="CCECFF"/>
          </w:tcPr>
          <w:p w14:paraId="330F8340" w14:textId="48FFC7E3" w:rsidR="001D04BB" w:rsidRDefault="00E46110">
            <w:r>
              <w:t>34</w:t>
            </w:r>
          </w:p>
        </w:tc>
      </w:tr>
      <w:tr w:rsidR="001D04BB" w14:paraId="23ADF9F8" w14:textId="77777777" w:rsidTr="00382F09">
        <w:trPr>
          <w:trHeight w:val="298"/>
        </w:trPr>
        <w:tc>
          <w:tcPr>
            <w:tcW w:w="2667" w:type="dxa"/>
            <w:vMerge/>
            <w:shd w:val="clear" w:color="auto" w:fill="CCECFF"/>
          </w:tcPr>
          <w:p w14:paraId="1FE89C19" w14:textId="3EFF2F4C" w:rsidR="001D04BB" w:rsidRPr="0009077E" w:rsidRDefault="001D04BB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CCECFF"/>
          </w:tcPr>
          <w:p w14:paraId="39B940F3" w14:textId="61D9C504" w:rsidR="001D04BB" w:rsidRDefault="00E46110">
            <w:r>
              <w:t xml:space="preserve">Ways of studying the brain </w:t>
            </w:r>
          </w:p>
        </w:tc>
        <w:tc>
          <w:tcPr>
            <w:tcW w:w="2409" w:type="dxa"/>
            <w:shd w:val="clear" w:color="auto" w:fill="CCECFF"/>
          </w:tcPr>
          <w:p w14:paraId="12FD8A43" w14:textId="17A41F44" w:rsidR="001D04BB" w:rsidRDefault="00E46110">
            <w:r>
              <w:t>36</w:t>
            </w:r>
          </w:p>
        </w:tc>
      </w:tr>
      <w:tr w:rsidR="001D04BB" w14:paraId="2523C6DE" w14:textId="77777777" w:rsidTr="00382F09">
        <w:trPr>
          <w:trHeight w:val="298"/>
        </w:trPr>
        <w:tc>
          <w:tcPr>
            <w:tcW w:w="2667" w:type="dxa"/>
            <w:vMerge/>
            <w:shd w:val="clear" w:color="auto" w:fill="CCECFF"/>
          </w:tcPr>
          <w:p w14:paraId="3A3ABB1B" w14:textId="148A5262" w:rsidR="001D04BB" w:rsidRPr="0009077E" w:rsidRDefault="001D04BB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CCECFF"/>
          </w:tcPr>
          <w:p w14:paraId="7A28DBD6" w14:textId="7A681BF7" w:rsidR="001D04BB" w:rsidRDefault="00E46110">
            <w:r>
              <w:t xml:space="preserve">Biological rhythms: Circadian rhythms </w:t>
            </w:r>
          </w:p>
        </w:tc>
        <w:tc>
          <w:tcPr>
            <w:tcW w:w="2409" w:type="dxa"/>
            <w:shd w:val="clear" w:color="auto" w:fill="CCECFF"/>
          </w:tcPr>
          <w:p w14:paraId="0C86A991" w14:textId="0E503857" w:rsidR="001D04BB" w:rsidRDefault="00E46110">
            <w:r>
              <w:t>38</w:t>
            </w:r>
          </w:p>
        </w:tc>
      </w:tr>
      <w:tr w:rsidR="001D04BB" w14:paraId="2F590C66" w14:textId="77777777" w:rsidTr="00382F09">
        <w:trPr>
          <w:trHeight w:val="298"/>
        </w:trPr>
        <w:tc>
          <w:tcPr>
            <w:tcW w:w="2667" w:type="dxa"/>
            <w:vMerge/>
            <w:shd w:val="clear" w:color="auto" w:fill="CCECFF"/>
          </w:tcPr>
          <w:p w14:paraId="40C70B92" w14:textId="0F8E1380" w:rsidR="001D04BB" w:rsidRPr="0009077E" w:rsidRDefault="001D04BB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CCECFF"/>
          </w:tcPr>
          <w:p w14:paraId="2F13BD67" w14:textId="2AF0A950" w:rsidR="001D04BB" w:rsidRDefault="00E46110" w:rsidP="00E46110">
            <w:r>
              <w:t xml:space="preserve">Biological rhythms: Infradian and ultradian rhythms </w:t>
            </w:r>
          </w:p>
        </w:tc>
        <w:tc>
          <w:tcPr>
            <w:tcW w:w="2409" w:type="dxa"/>
            <w:shd w:val="clear" w:color="auto" w:fill="CCECFF"/>
          </w:tcPr>
          <w:p w14:paraId="2355D855" w14:textId="368E23C5" w:rsidR="001D04BB" w:rsidRDefault="00E46110">
            <w:r>
              <w:t>40</w:t>
            </w:r>
          </w:p>
        </w:tc>
      </w:tr>
      <w:tr w:rsidR="001D04BB" w14:paraId="782F8A15" w14:textId="77777777" w:rsidTr="00382F09">
        <w:trPr>
          <w:trHeight w:val="298"/>
        </w:trPr>
        <w:tc>
          <w:tcPr>
            <w:tcW w:w="2667" w:type="dxa"/>
            <w:vMerge/>
            <w:shd w:val="clear" w:color="auto" w:fill="CCECFF"/>
          </w:tcPr>
          <w:p w14:paraId="427B468E" w14:textId="61DDB519" w:rsidR="001D04BB" w:rsidRPr="0009077E" w:rsidRDefault="001D04BB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CCECFF"/>
          </w:tcPr>
          <w:p w14:paraId="0E4E7B1F" w14:textId="068B005D" w:rsidR="001D04BB" w:rsidRDefault="00E46110">
            <w:r>
              <w:t>Endogenous pacemakers and exogenous zeitgebers</w:t>
            </w:r>
          </w:p>
        </w:tc>
        <w:tc>
          <w:tcPr>
            <w:tcW w:w="2409" w:type="dxa"/>
            <w:shd w:val="clear" w:color="auto" w:fill="CCECFF"/>
          </w:tcPr>
          <w:p w14:paraId="73D61D50" w14:textId="05FEFEF5" w:rsidR="001D04BB" w:rsidRDefault="00E46110">
            <w:r>
              <w:t>42</w:t>
            </w:r>
          </w:p>
        </w:tc>
      </w:tr>
      <w:tr w:rsidR="00E46110" w14:paraId="0EDAEEB4" w14:textId="77777777" w:rsidTr="00382F09">
        <w:trPr>
          <w:trHeight w:val="281"/>
        </w:trPr>
        <w:tc>
          <w:tcPr>
            <w:tcW w:w="2667" w:type="dxa"/>
            <w:vMerge w:val="restart"/>
            <w:shd w:val="clear" w:color="auto" w:fill="FFCCFF"/>
          </w:tcPr>
          <w:p w14:paraId="3260BE0E" w14:textId="3F4E0E12" w:rsidR="00E46110" w:rsidRPr="0009077E" w:rsidRDefault="00E46110" w:rsidP="0009077E">
            <w:pPr>
              <w:rPr>
                <w:b/>
                <w:sz w:val="24"/>
              </w:rPr>
            </w:pPr>
            <w:r w:rsidRPr="0009077E">
              <w:rPr>
                <w:b/>
                <w:sz w:val="24"/>
              </w:rPr>
              <w:t>Gender</w:t>
            </w:r>
          </w:p>
        </w:tc>
        <w:tc>
          <w:tcPr>
            <w:tcW w:w="5590" w:type="dxa"/>
            <w:shd w:val="clear" w:color="auto" w:fill="FFCCFF"/>
          </w:tcPr>
          <w:p w14:paraId="4467E957" w14:textId="0B1905D6" w:rsidR="00E46110" w:rsidRDefault="00E46110" w:rsidP="00F0668B">
            <w:r>
              <w:t>Sex and gender</w:t>
            </w:r>
          </w:p>
        </w:tc>
        <w:tc>
          <w:tcPr>
            <w:tcW w:w="2409" w:type="dxa"/>
            <w:shd w:val="clear" w:color="auto" w:fill="FFCCFF"/>
          </w:tcPr>
          <w:p w14:paraId="616F88AB" w14:textId="67498A40" w:rsidR="00E46110" w:rsidRDefault="00E46110" w:rsidP="00F0668B">
            <w:r>
              <w:t>90</w:t>
            </w:r>
          </w:p>
        </w:tc>
      </w:tr>
      <w:tr w:rsidR="00E46110" w14:paraId="027FD521" w14:textId="77777777" w:rsidTr="00382F09">
        <w:trPr>
          <w:trHeight w:val="298"/>
        </w:trPr>
        <w:tc>
          <w:tcPr>
            <w:tcW w:w="2667" w:type="dxa"/>
            <w:vMerge/>
            <w:shd w:val="clear" w:color="auto" w:fill="FFCCFF"/>
          </w:tcPr>
          <w:p w14:paraId="0004160F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CCFF"/>
          </w:tcPr>
          <w:p w14:paraId="37CEE670" w14:textId="5A0186EE" w:rsidR="00E46110" w:rsidRDefault="00E46110" w:rsidP="00F0668B">
            <w:r>
              <w:t xml:space="preserve">Androgyny and the BSRI </w:t>
            </w:r>
          </w:p>
        </w:tc>
        <w:tc>
          <w:tcPr>
            <w:tcW w:w="2409" w:type="dxa"/>
            <w:shd w:val="clear" w:color="auto" w:fill="FFCCFF"/>
          </w:tcPr>
          <w:p w14:paraId="176B17E1" w14:textId="0B49A9F2" w:rsidR="00E46110" w:rsidRDefault="00E46110" w:rsidP="00F0668B">
            <w:r>
              <w:t>92</w:t>
            </w:r>
          </w:p>
        </w:tc>
      </w:tr>
      <w:tr w:rsidR="00E46110" w14:paraId="48420533" w14:textId="77777777" w:rsidTr="00382F09">
        <w:trPr>
          <w:trHeight w:val="281"/>
        </w:trPr>
        <w:tc>
          <w:tcPr>
            <w:tcW w:w="2667" w:type="dxa"/>
            <w:vMerge/>
            <w:shd w:val="clear" w:color="auto" w:fill="FFCCFF"/>
          </w:tcPr>
          <w:p w14:paraId="7D2003EA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CCFF"/>
          </w:tcPr>
          <w:p w14:paraId="5043194D" w14:textId="07A24E67" w:rsidR="00E46110" w:rsidRDefault="00E46110" w:rsidP="00F0668B">
            <w:r>
              <w:t xml:space="preserve">The role of chromosomes and hormones </w:t>
            </w:r>
          </w:p>
        </w:tc>
        <w:tc>
          <w:tcPr>
            <w:tcW w:w="2409" w:type="dxa"/>
            <w:shd w:val="clear" w:color="auto" w:fill="FFCCFF"/>
          </w:tcPr>
          <w:p w14:paraId="392E821B" w14:textId="24096396" w:rsidR="00E46110" w:rsidRDefault="00E46110" w:rsidP="00F0668B">
            <w:r>
              <w:t>94</w:t>
            </w:r>
          </w:p>
        </w:tc>
      </w:tr>
      <w:tr w:rsidR="00E46110" w14:paraId="6D02F5F7" w14:textId="77777777" w:rsidTr="00382F09">
        <w:trPr>
          <w:trHeight w:val="298"/>
        </w:trPr>
        <w:tc>
          <w:tcPr>
            <w:tcW w:w="2667" w:type="dxa"/>
            <w:vMerge/>
            <w:shd w:val="clear" w:color="auto" w:fill="FFCCFF"/>
          </w:tcPr>
          <w:p w14:paraId="27CE42A1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CCFF"/>
          </w:tcPr>
          <w:p w14:paraId="2EDEF0CF" w14:textId="78A67525" w:rsidR="00E46110" w:rsidRDefault="00E46110" w:rsidP="00F0668B">
            <w:r>
              <w:t xml:space="preserve">Atypical sex chromosome patterns </w:t>
            </w:r>
          </w:p>
        </w:tc>
        <w:tc>
          <w:tcPr>
            <w:tcW w:w="2409" w:type="dxa"/>
            <w:shd w:val="clear" w:color="auto" w:fill="FFCCFF"/>
          </w:tcPr>
          <w:p w14:paraId="39C8F244" w14:textId="173E2D96" w:rsidR="00E46110" w:rsidRDefault="00E46110" w:rsidP="00F0668B">
            <w:r>
              <w:t>96</w:t>
            </w:r>
          </w:p>
        </w:tc>
      </w:tr>
      <w:tr w:rsidR="00E46110" w14:paraId="1B384715" w14:textId="77777777" w:rsidTr="00382F09">
        <w:trPr>
          <w:trHeight w:val="298"/>
        </w:trPr>
        <w:tc>
          <w:tcPr>
            <w:tcW w:w="2667" w:type="dxa"/>
            <w:vMerge/>
            <w:shd w:val="clear" w:color="auto" w:fill="FFCCFF"/>
          </w:tcPr>
          <w:p w14:paraId="25A2E7B6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CCFF"/>
          </w:tcPr>
          <w:p w14:paraId="75A00901" w14:textId="56971434" w:rsidR="00E46110" w:rsidRDefault="00E46110" w:rsidP="00F0668B">
            <w:r>
              <w:t xml:space="preserve">Cognitive explanations: Kohlberg’s theory </w:t>
            </w:r>
          </w:p>
        </w:tc>
        <w:tc>
          <w:tcPr>
            <w:tcW w:w="2409" w:type="dxa"/>
            <w:shd w:val="clear" w:color="auto" w:fill="FFCCFF"/>
          </w:tcPr>
          <w:p w14:paraId="17866E0A" w14:textId="4767A0E5" w:rsidR="00E46110" w:rsidRDefault="00E46110" w:rsidP="00F0668B">
            <w:r>
              <w:t>98</w:t>
            </w:r>
          </w:p>
        </w:tc>
      </w:tr>
      <w:tr w:rsidR="00E46110" w14:paraId="1E88A628" w14:textId="77777777" w:rsidTr="00382F09">
        <w:trPr>
          <w:trHeight w:val="298"/>
        </w:trPr>
        <w:tc>
          <w:tcPr>
            <w:tcW w:w="2667" w:type="dxa"/>
            <w:vMerge/>
            <w:shd w:val="clear" w:color="auto" w:fill="FFCCFF"/>
          </w:tcPr>
          <w:p w14:paraId="590BB51D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CCFF"/>
          </w:tcPr>
          <w:p w14:paraId="312FF420" w14:textId="7CEEFBC2" w:rsidR="00E46110" w:rsidRDefault="00E46110" w:rsidP="00F0668B">
            <w:r>
              <w:t xml:space="preserve">Gender schema theory (GST) </w:t>
            </w:r>
          </w:p>
        </w:tc>
        <w:tc>
          <w:tcPr>
            <w:tcW w:w="2409" w:type="dxa"/>
            <w:shd w:val="clear" w:color="auto" w:fill="FFCCFF"/>
          </w:tcPr>
          <w:p w14:paraId="17B53A42" w14:textId="6D943D04" w:rsidR="00E46110" w:rsidRDefault="00E46110" w:rsidP="00F0668B">
            <w:r>
              <w:t>100</w:t>
            </w:r>
          </w:p>
        </w:tc>
      </w:tr>
      <w:tr w:rsidR="00E46110" w14:paraId="2EF22E1D" w14:textId="77777777" w:rsidTr="00382F09">
        <w:trPr>
          <w:trHeight w:val="298"/>
        </w:trPr>
        <w:tc>
          <w:tcPr>
            <w:tcW w:w="2667" w:type="dxa"/>
            <w:vMerge/>
            <w:shd w:val="clear" w:color="auto" w:fill="FFCCFF"/>
          </w:tcPr>
          <w:p w14:paraId="7B5B1E80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CCFF"/>
          </w:tcPr>
          <w:p w14:paraId="71AE09C3" w14:textId="773D3EC1" w:rsidR="00E46110" w:rsidRDefault="00E46110" w:rsidP="00F0668B">
            <w:r>
              <w:t xml:space="preserve">Psychodynamic explanation of gender development </w:t>
            </w:r>
          </w:p>
        </w:tc>
        <w:tc>
          <w:tcPr>
            <w:tcW w:w="2409" w:type="dxa"/>
            <w:shd w:val="clear" w:color="auto" w:fill="FFCCFF"/>
          </w:tcPr>
          <w:p w14:paraId="3CB96205" w14:textId="6AF5BBC2" w:rsidR="00E46110" w:rsidRDefault="00E46110" w:rsidP="00F0668B">
            <w:r>
              <w:t>102</w:t>
            </w:r>
          </w:p>
        </w:tc>
      </w:tr>
      <w:tr w:rsidR="00E46110" w14:paraId="055AD1B4" w14:textId="77777777" w:rsidTr="00382F09">
        <w:trPr>
          <w:trHeight w:val="298"/>
        </w:trPr>
        <w:tc>
          <w:tcPr>
            <w:tcW w:w="2667" w:type="dxa"/>
            <w:vMerge/>
            <w:shd w:val="clear" w:color="auto" w:fill="FFCCFF"/>
          </w:tcPr>
          <w:p w14:paraId="1BDFCF47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CCFF"/>
          </w:tcPr>
          <w:p w14:paraId="741F87DE" w14:textId="039D66EE" w:rsidR="00E46110" w:rsidRDefault="00E46110" w:rsidP="00F0668B">
            <w:r>
              <w:t xml:space="preserve">Social learning explanation of gender development </w:t>
            </w:r>
          </w:p>
        </w:tc>
        <w:tc>
          <w:tcPr>
            <w:tcW w:w="2409" w:type="dxa"/>
            <w:shd w:val="clear" w:color="auto" w:fill="FFCCFF"/>
          </w:tcPr>
          <w:p w14:paraId="78AC4EE0" w14:textId="703104AC" w:rsidR="00E46110" w:rsidRDefault="00E46110" w:rsidP="00F0668B">
            <w:r>
              <w:t>104</w:t>
            </w:r>
          </w:p>
        </w:tc>
      </w:tr>
      <w:tr w:rsidR="00E46110" w14:paraId="230E92FC" w14:textId="77777777" w:rsidTr="00382F09">
        <w:trPr>
          <w:trHeight w:val="298"/>
        </w:trPr>
        <w:tc>
          <w:tcPr>
            <w:tcW w:w="2667" w:type="dxa"/>
            <w:vMerge/>
            <w:shd w:val="clear" w:color="auto" w:fill="FFCCFF"/>
          </w:tcPr>
          <w:p w14:paraId="082B9047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CCFF"/>
          </w:tcPr>
          <w:p w14:paraId="0A4ABBE1" w14:textId="488272D4" w:rsidR="00E46110" w:rsidRDefault="00E46110" w:rsidP="00F0668B">
            <w:r>
              <w:t xml:space="preserve">The influence of culture and media on gender roles </w:t>
            </w:r>
          </w:p>
        </w:tc>
        <w:tc>
          <w:tcPr>
            <w:tcW w:w="2409" w:type="dxa"/>
            <w:shd w:val="clear" w:color="auto" w:fill="FFCCFF"/>
          </w:tcPr>
          <w:p w14:paraId="7016502C" w14:textId="238D3CC9" w:rsidR="00E46110" w:rsidRDefault="00E46110" w:rsidP="00F0668B">
            <w:r>
              <w:t>106</w:t>
            </w:r>
          </w:p>
        </w:tc>
      </w:tr>
      <w:tr w:rsidR="00E46110" w14:paraId="6F28E3F5" w14:textId="77777777" w:rsidTr="00382F09">
        <w:trPr>
          <w:trHeight w:val="298"/>
        </w:trPr>
        <w:tc>
          <w:tcPr>
            <w:tcW w:w="2667" w:type="dxa"/>
            <w:vMerge/>
          </w:tcPr>
          <w:p w14:paraId="01298FB6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CCFF"/>
          </w:tcPr>
          <w:p w14:paraId="327AFB81" w14:textId="4F7C1BF6" w:rsidR="00E46110" w:rsidRDefault="00E46110" w:rsidP="00F0668B">
            <w:r>
              <w:t xml:space="preserve">Atypical gender development </w:t>
            </w:r>
          </w:p>
        </w:tc>
        <w:tc>
          <w:tcPr>
            <w:tcW w:w="2409" w:type="dxa"/>
            <w:shd w:val="clear" w:color="auto" w:fill="FFCCFF"/>
          </w:tcPr>
          <w:p w14:paraId="330F5B28" w14:textId="7C61C00F" w:rsidR="00E46110" w:rsidRDefault="00E46110" w:rsidP="00F0668B">
            <w:r>
              <w:t>108</w:t>
            </w:r>
          </w:p>
        </w:tc>
      </w:tr>
      <w:tr w:rsidR="00E46110" w14:paraId="2F1FB79A" w14:textId="77777777" w:rsidTr="00382F09">
        <w:trPr>
          <w:trHeight w:val="281"/>
        </w:trPr>
        <w:tc>
          <w:tcPr>
            <w:tcW w:w="2667" w:type="dxa"/>
            <w:vMerge w:val="restart"/>
            <w:shd w:val="clear" w:color="auto" w:fill="FFFFCC"/>
          </w:tcPr>
          <w:p w14:paraId="187B8005" w14:textId="307EABBF" w:rsidR="00E46110" w:rsidRPr="0009077E" w:rsidRDefault="00266030" w:rsidP="0009077E">
            <w:pPr>
              <w:rPr>
                <w:b/>
                <w:sz w:val="24"/>
              </w:rPr>
            </w:pPr>
            <w:r w:rsidRPr="0009077E">
              <w:rPr>
                <w:b/>
                <w:sz w:val="24"/>
              </w:rPr>
              <w:t>Eating</w:t>
            </w:r>
          </w:p>
        </w:tc>
        <w:tc>
          <w:tcPr>
            <w:tcW w:w="5590" w:type="dxa"/>
            <w:shd w:val="clear" w:color="auto" w:fill="FFFFCC"/>
          </w:tcPr>
          <w:p w14:paraId="54EAEC8C" w14:textId="1FAFA696" w:rsidR="00E46110" w:rsidRDefault="00266030" w:rsidP="00F0668B">
            <w:r>
              <w:t xml:space="preserve">Explanations for food preferences: Evolutionary </w:t>
            </w:r>
          </w:p>
        </w:tc>
        <w:tc>
          <w:tcPr>
            <w:tcW w:w="2409" w:type="dxa"/>
            <w:shd w:val="clear" w:color="auto" w:fill="FFFFCC"/>
          </w:tcPr>
          <w:p w14:paraId="5381A18E" w14:textId="27B6F5E9" w:rsidR="00E46110" w:rsidRDefault="00266030" w:rsidP="00F0668B">
            <w:r>
              <w:t>136</w:t>
            </w:r>
          </w:p>
        </w:tc>
      </w:tr>
      <w:tr w:rsidR="00E46110" w14:paraId="41200C8A" w14:textId="77777777" w:rsidTr="00382F09">
        <w:trPr>
          <w:trHeight w:val="298"/>
        </w:trPr>
        <w:tc>
          <w:tcPr>
            <w:tcW w:w="2667" w:type="dxa"/>
            <w:vMerge/>
            <w:shd w:val="clear" w:color="auto" w:fill="FFFFCC"/>
          </w:tcPr>
          <w:p w14:paraId="6ED361D0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FFCC"/>
          </w:tcPr>
          <w:p w14:paraId="3E5C64B8" w14:textId="2C5E4F85" w:rsidR="00E46110" w:rsidRDefault="00266030" w:rsidP="00F0668B">
            <w:r>
              <w:t xml:space="preserve">Explanations for food preferences: the role of learning </w:t>
            </w:r>
          </w:p>
        </w:tc>
        <w:tc>
          <w:tcPr>
            <w:tcW w:w="2409" w:type="dxa"/>
            <w:shd w:val="clear" w:color="auto" w:fill="FFFFCC"/>
          </w:tcPr>
          <w:p w14:paraId="7990BFEE" w14:textId="3104C5C9" w:rsidR="00E46110" w:rsidRDefault="00266030" w:rsidP="00F0668B">
            <w:r>
              <w:t>138</w:t>
            </w:r>
          </w:p>
        </w:tc>
      </w:tr>
      <w:tr w:rsidR="00E46110" w14:paraId="47D23DF4" w14:textId="77777777" w:rsidTr="00382F09">
        <w:trPr>
          <w:trHeight w:val="281"/>
        </w:trPr>
        <w:tc>
          <w:tcPr>
            <w:tcW w:w="2667" w:type="dxa"/>
            <w:vMerge/>
            <w:shd w:val="clear" w:color="auto" w:fill="FFFFCC"/>
          </w:tcPr>
          <w:p w14:paraId="058DE660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FFCC"/>
          </w:tcPr>
          <w:p w14:paraId="2FCB94FE" w14:textId="391D6846" w:rsidR="00E46110" w:rsidRDefault="00266030" w:rsidP="00F0668B">
            <w:r>
              <w:t xml:space="preserve">Neural and hormonal mechanisms in eating behaviour </w:t>
            </w:r>
          </w:p>
        </w:tc>
        <w:tc>
          <w:tcPr>
            <w:tcW w:w="2409" w:type="dxa"/>
            <w:shd w:val="clear" w:color="auto" w:fill="FFFFCC"/>
          </w:tcPr>
          <w:p w14:paraId="301F9CE1" w14:textId="1F248597" w:rsidR="00E46110" w:rsidRDefault="00266030" w:rsidP="00F0668B">
            <w:r>
              <w:t>140</w:t>
            </w:r>
          </w:p>
        </w:tc>
      </w:tr>
      <w:tr w:rsidR="00E46110" w14:paraId="57635572" w14:textId="77777777" w:rsidTr="00382F09">
        <w:trPr>
          <w:trHeight w:val="298"/>
        </w:trPr>
        <w:tc>
          <w:tcPr>
            <w:tcW w:w="2667" w:type="dxa"/>
            <w:vMerge/>
            <w:shd w:val="clear" w:color="auto" w:fill="FFFFCC"/>
          </w:tcPr>
          <w:p w14:paraId="679F87CA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FFCC"/>
          </w:tcPr>
          <w:p w14:paraId="6E293B87" w14:textId="38361FCB" w:rsidR="00E46110" w:rsidRDefault="00266030" w:rsidP="00F0668B">
            <w:r>
              <w:t xml:space="preserve">Biological explanations for anorexia nervosa </w:t>
            </w:r>
          </w:p>
        </w:tc>
        <w:tc>
          <w:tcPr>
            <w:tcW w:w="2409" w:type="dxa"/>
            <w:shd w:val="clear" w:color="auto" w:fill="FFFFCC"/>
          </w:tcPr>
          <w:p w14:paraId="3EDDA081" w14:textId="5725B5F7" w:rsidR="00E46110" w:rsidRDefault="00266030" w:rsidP="00F0668B">
            <w:r>
              <w:t>142</w:t>
            </w:r>
          </w:p>
        </w:tc>
      </w:tr>
      <w:tr w:rsidR="00E46110" w14:paraId="521DB2DC" w14:textId="77777777" w:rsidTr="00382F09">
        <w:trPr>
          <w:trHeight w:val="298"/>
        </w:trPr>
        <w:tc>
          <w:tcPr>
            <w:tcW w:w="2667" w:type="dxa"/>
            <w:vMerge/>
            <w:shd w:val="clear" w:color="auto" w:fill="FFFFCC"/>
          </w:tcPr>
          <w:p w14:paraId="18D1D56D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FFCC"/>
          </w:tcPr>
          <w:p w14:paraId="44F5765D" w14:textId="0F6E8AD6" w:rsidR="00E46110" w:rsidRDefault="00266030" w:rsidP="00F0668B">
            <w:r>
              <w:t xml:space="preserve">Psychological explanations for anorexia nervosa: FST </w:t>
            </w:r>
          </w:p>
        </w:tc>
        <w:tc>
          <w:tcPr>
            <w:tcW w:w="2409" w:type="dxa"/>
            <w:shd w:val="clear" w:color="auto" w:fill="FFFFCC"/>
          </w:tcPr>
          <w:p w14:paraId="17CA975E" w14:textId="5CC2A2D7" w:rsidR="00E46110" w:rsidRDefault="00266030" w:rsidP="00F0668B">
            <w:r>
              <w:t>144</w:t>
            </w:r>
          </w:p>
        </w:tc>
      </w:tr>
      <w:tr w:rsidR="00E46110" w14:paraId="6723ED94" w14:textId="77777777" w:rsidTr="00382F09">
        <w:trPr>
          <w:trHeight w:val="298"/>
        </w:trPr>
        <w:tc>
          <w:tcPr>
            <w:tcW w:w="2667" w:type="dxa"/>
            <w:vMerge/>
            <w:shd w:val="clear" w:color="auto" w:fill="FFFFCC"/>
          </w:tcPr>
          <w:p w14:paraId="58638739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FFCC"/>
          </w:tcPr>
          <w:p w14:paraId="7D4785B9" w14:textId="7C9E7C9C" w:rsidR="00E46110" w:rsidRDefault="00266030" w:rsidP="00F0668B">
            <w:r>
              <w:t xml:space="preserve">Psychological explanations for anorexia nervosa: SLT </w:t>
            </w:r>
          </w:p>
        </w:tc>
        <w:tc>
          <w:tcPr>
            <w:tcW w:w="2409" w:type="dxa"/>
            <w:shd w:val="clear" w:color="auto" w:fill="FFFFCC"/>
          </w:tcPr>
          <w:p w14:paraId="3BE1F940" w14:textId="31EDF157" w:rsidR="00E46110" w:rsidRDefault="00266030" w:rsidP="00F0668B">
            <w:r>
              <w:t>146</w:t>
            </w:r>
          </w:p>
        </w:tc>
      </w:tr>
      <w:tr w:rsidR="00E46110" w14:paraId="536A8960" w14:textId="77777777" w:rsidTr="00382F09">
        <w:trPr>
          <w:trHeight w:val="298"/>
        </w:trPr>
        <w:tc>
          <w:tcPr>
            <w:tcW w:w="2667" w:type="dxa"/>
            <w:vMerge/>
            <w:shd w:val="clear" w:color="auto" w:fill="FFFFCC"/>
          </w:tcPr>
          <w:p w14:paraId="685E4518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FFCC"/>
          </w:tcPr>
          <w:p w14:paraId="038D8D01" w14:textId="3AEE6724" w:rsidR="00E46110" w:rsidRDefault="00266030" w:rsidP="00F0668B">
            <w:r>
              <w:t xml:space="preserve">Psychological explanations for anorexia nervosa: Cognitive </w:t>
            </w:r>
          </w:p>
        </w:tc>
        <w:tc>
          <w:tcPr>
            <w:tcW w:w="2409" w:type="dxa"/>
            <w:shd w:val="clear" w:color="auto" w:fill="FFFFCC"/>
          </w:tcPr>
          <w:p w14:paraId="68670653" w14:textId="10506B47" w:rsidR="00E46110" w:rsidRDefault="00266030" w:rsidP="00F0668B">
            <w:r>
              <w:t>148</w:t>
            </w:r>
          </w:p>
        </w:tc>
      </w:tr>
      <w:tr w:rsidR="00E46110" w14:paraId="610AA4AC" w14:textId="77777777" w:rsidTr="00382F09">
        <w:trPr>
          <w:trHeight w:val="298"/>
        </w:trPr>
        <w:tc>
          <w:tcPr>
            <w:tcW w:w="2667" w:type="dxa"/>
            <w:vMerge/>
            <w:shd w:val="clear" w:color="auto" w:fill="FFFFCC"/>
          </w:tcPr>
          <w:p w14:paraId="3924FEF1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FFCC"/>
          </w:tcPr>
          <w:p w14:paraId="5B553FF0" w14:textId="6296570F" w:rsidR="00E46110" w:rsidRDefault="00266030" w:rsidP="00F0668B">
            <w:r>
              <w:t xml:space="preserve">Biological explanation for obesity </w:t>
            </w:r>
          </w:p>
        </w:tc>
        <w:tc>
          <w:tcPr>
            <w:tcW w:w="2409" w:type="dxa"/>
            <w:shd w:val="clear" w:color="auto" w:fill="FFFFCC"/>
          </w:tcPr>
          <w:p w14:paraId="7082B29A" w14:textId="78304002" w:rsidR="00E46110" w:rsidRDefault="00266030" w:rsidP="00F0668B">
            <w:r>
              <w:t>150</w:t>
            </w:r>
          </w:p>
        </w:tc>
      </w:tr>
      <w:tr w:rsidR="00E46110" w14:paraId="4A0EDC35" w14:textId="77777777" w:rsidTr="00382F09">
        <w:trPr>
          <w:trHeight w:val="298"/>
        </w:trPr>
        <w:tc>
          <w:tcPr>
            <w:tcW w:w="2667" w:type="dxa"/>
            <w:vMerge/>
            <w:shd w:val="clear" w:color="auto" w:fill="FFFFCC"/>
          </w:tcPr>
          <w:p w14:paraId="705C3585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FFCC"/>
          </w:tcPr>
          <w:p w14:paraId="1C7E23C2" w14:textId="3C96CDB1" w:rsidR="00E46110" w:rsidRDefault="00266030" w:rsidP="00F0668B">
            <w:r>
              <w:t xml:space="preserve">Psychological explanation for obesity </w:t>
            </w:r>
          </w:p>
        </w:tc>
        <w:tc>
          <w:tcPr>
            <w:tcW w:w="2409" w:type="dxa"/>
            <w:shd w:val="clear" w:color="auto" w:fill="FFFFCC"/>
          </w:tcPr>
          <w:p w14:paraId="2E2E8772" w14:textId="6E1475EC" w:rsidR="00E46110" w:rsidRDefault="00266030" w:rsidP="00F0668B">
            <w:r>
              <w:t>152</w:t>
            </w:r>
          </w:p>
        </w:tc>
      </w:tr>
      <w:tr w:rsidR="00E46110" w14:paraId="3BED69CC" w14:textId="77777777" w:rsidTr="00382F09">
        <w:trPr>
          <w:trHeight w:val="298"/>
        </w:trPr>
        <w:tc>
          <w:tcPr>
            <w:tcW w:w="2667" w:type="dxa"/>
            <w:vMerge/>
            <w:shd w:val="clear" w:color="auto" w:fill="FFFFCC"/>
          </w:tcPr>
          <w:p w14:paraId="3722B525" w14:textId="77777777" w:rsidR="00E46110" w:rsidRPr="0009077E" w:rsidRDefault="00E46110" w:rsidP="0009077E">
            <w:pPr>
              <w:rPr>
                <w:b/>
                <w:sz w:val="24"/>
              </w:rPr>
            </w:pPr>
          </w:p>
        </w:tc>
        <w:tc>
          <w:tcPr>
            <w:tcW w:w="5590" w:type="dxa"/>
            <w:shd w:val="clear" w:color="auto" w:fill="FFFFCC"/>
          </w:tcPr>
          <w:p w14:paraId="498C28C1" w14:textId="005DC0B8" w:rsidR="00E46110" w:rsidRDefault="00266030" w:rsidP="00F0668B">
            <w:r>
              <w:t xml:space="preserve">Explanation for the success and failure of dieting </w:t>
            </w:r>
          </w:p>
        </w:tc>
        <w:tc>
          <w:tcPr>
            <w:tcW w:w="2409" w:type="dxa"/>
            <w:shd w:val="clear" w:color="auto" w:fill="FFFFCC"/>
          </w:tcPr>
          <w:p w14:paraId="21044590" w14:textId="21FCDFD7" w:rsidR="00E46110" w:rsidRDefault="00266030" w:rsidP="00F0668B">
            <w:r>
              <w:t>154</w:t>
            </w:r>
          </w:p>
        </w:tc>
      </w:tr>
      <w:tr w:rsidR="00E46110" w14:paraId="0E47ABE1" w14:textId="77777777" w:rsidTr="00382F09">
        <w:trPr>
          <w:trHeight w:val="281"/>
        </w:trPr>
        <w:tc>
          <w:tcPr>
            <w:tcW w:w="2667" w:type="dxa"/>
            <w:vMerge w:val="restart"/>
            <w:shd w:val="clear" w:color="auto" w:fill="FFE599" w:themeFill="accent4" w:themeFillTint="66"/>
          </w:tcPr>
          <w:p w14:paraId="7B44D3C6" w14:textId="068F84C0" w:rsidR="00E46110" w:rsidRPr="0009077E" w:rsidRDefault="00F24654" w:rsidP="0009077E">
            <w:pPr>
              <w:rPr>
                <w:b/>
                <w:sz w:val="24"/>
              </w:rPr>
            </w:pPr>
            <w:r w:rsidRPr="0009077E">
              <w:rPr>
                <w:b/>
                <w:sz w:val="24"/>
              </w:rPr>
              <w:t>Approaches in psychology</w:t>
            </w:r>
          </w:p>
        </w:tc>
        <w:tc>
          <w:tcPr>
            <w:tcW w:w="5590" w:type="dxa"/>
            <w:shd w:val="clear" w:color="auto" w:fill="FFE599" w:themeFill="accent4" w:themeFillTint="66"/>
          </w:tcPr>
          <w:p w14:paraId="1A7D4E0A" w14:textId="194FB2DA" w:rsidR="00E46110" w:rsidRDefault="00F24654" w:rsidP="00F0668B">
            <w:r>
              <w:t xml:space="preserve">The psychodynamic approach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542799E4" w14:textId="6019ABAC" w:rsidR="00E46110" w:rsidRDefault="00F24654" w:rsidP="00F0668B">
            <w:r>
              <w:t>20</w:t>
            </w:r>
          </w:p>
        </w:tc>
      </w:tr>
      <w:tr w:rsidR="00E46110" w14:paraId="7528FEF7" w14:textId="77777777" w:rsidTr="00382F09">
        <w:trPr>
          <w:trHeight w:val="298"/>
        </w:trPr>
        <w:tc>
          <w:tcPr>
            <w:tcW w:w="2667" w:type="dxa"/>
            <w:vMerge/>
            <w:shd w:val="clear" w:color="auto" w:fill="FFE599" w:themeFill="accent4" w:themeFillTint="66"/>
          </w:tcPr>
          <w:p w14:paraId="6E99875D" w14:textId="77777777" w:rsidR="00E46110" w:rsidRDefault="00E46110" w:rsidP="00F0668B"/>
        </w:tc>
        <w:tc>
          <w:tcPr>
            <w:tcW w:w="5590" w:type="dxa"/>
            <w:shd w:val="clear" w:color="auto" w:fill="FFE599" w:themeFill="accent4" w:themeFillTint="66"/>
          </w:tcPr>
          <w:p w14:paraId="12EAF692" w14:textId="218D1111" w:rsidR="00E46110" w:rsidRDefault="00F24654" w:rsidP="00F0668B">
            <w:r>
              <w:t xml:space="preserve">The humanistic approach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5B01F536" w14:textId="53DBDDAB" w:rsidR="00E46110" w:rsidRDefault="00F24654" w:rsidP="00F0668B">
            <w:r>
              <w:t>22</w:t>
            </w:r>
          </w:p>
        </w:tc>
      </w:tr>
      <w:tr w:rsidR="00E46110" w14:paraId="02A23BBC" w14:textId="77777777" w:rsidTr="00382F09">
        <w:trPr>
          <w:trHeight w:val="281"/>
        </w:trPr>
        <w:tc>
          <w:tcPr>
            <w:tcW w:w="2667" w:type="dxa"/>
            <w:vMerge/>
            <w:shd w:val="clear" w:color="auto" w:fill="FFE599" w:themeFill="accent4" w:themeFillTint="66"/>
          </w:tcPr>
          <w:p w14:paraId="40CA4E94" w14:textId="77777777" w:rsidR="00E46110" w:rsidRDefault="00E46110" w:rsidP="00F0668B"/>
        </w:tc>
        <w:tc>
          <w:tcPr>
            <w:tcW w:w="5590" w:type="dxa"/>
            <w:shd w:val="clear" w:color="auto" w:fill="FFE599" w:themeFill="accent4" w:themeFillTint="66"/>
          </w:tcPr>
          <w:p w14:paraId="2C355F8E" w14:textId="3BD471AC" w:rsidR="00E46110" w:rsidRDefault="00F24654" w:rsidP="00F0668B">
            <w:r>
              <w:t xml:space="preserve">Comparison of approaches 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169F919F" w14:textId="34D3D073" w:rsidR="00E46110" w:rsidRDefault="00F24654" w:rsidP="00F0668B">
            <w:r>
              <w:t>24</w:t>
            </w:r>
          </w:p>
        </w:tc>
      </w:tr>
      <w:tr w:rsidR="00E46110" w14:paraId="05380388" w14:textId="77777777" w:rsidTr="00382F09">
        <w:trPr>
          <w:trHeight w:val="281"/>
        </w:trPr>
        <w:tc>
          <w:tcPr>
            <w:tcW w:w="2667" w:type="dxa"/>
            <w:vMerge w:val="restart"/>
            <w:shd w:val="clear" w:color="auto" w:fill="CCFFCC"/>
          </w:tcPr>
          <w:p w14:paraId="5AE47147" w14:textId="4AE45C5E" w:rsidR="00E46110" w:rsidRPr="00382F09" w:rsidRDefault="0009077E" w:rsidP="00F0668B">
            <w:pPr>
              <w:rPr>
                <w:b/>
              </w:rPr>
            </w:pPr>
            <w:r w:rsidRPr="00382F09">
              <w:rPr>
                <w:b/>
              </w:rPr>
              <w:t>Issues and debates</w:t>
            </w:r>
          </w:p>
        </w:tc>
        <w:tc>
          <w:tcPr>
            <w:tcW w:w="5590" w:type="dxa"/>
            <w:shd w:val="clear" w:color="auto" w:fill="CCFFCC"/>
          </w:tcPr>
          <w:p w14:paraId="08DA949A" w14:textId="35B858D7" w:rsidR="00E46110" w:rsidRDefault="0009077E" w:rsidP="00F0668B">
            <w:r>
              <w:t>Gender and culture in psychology: gender bias</w:t>
            </w:r>
          </w:p>
        </w:tc>
        <w:tc>
          <w:tcPr>
            <w:tcW w:w="2409" w:type="dxa"/>
            <w:shd w:val="clear" w:color="auto" w:fill="CCFFCC"/>
          </w:tcPr>
          <w:p w14:paraId="44838953" w14:textId="03418C0C" w:rsidR="00E46110" w:rsidRDefault="001D3680" w:rsidP="00F0668B">
            <w:r>
              <w:t>56</w:t>
            </w:r>
          </w:p>
        </w:tc>
      </w:tr>
      <w:tr w:rsidR="00E46110" w14:paraId="29C0069C" w14:textId="77777777" w:rsidTr="00382F09">
        <w:trPr>
          <w:trHeight w:val="298"/>
        </w:trPr>
        <w:tc>
          <w:tcPr>
            <w:tcW w:w="2667" w:type="dxa"/>
            <w:vMerge/>
            <w:shd w:val="clear" w:color="auto" w:fill="CCFFCC"/>
          </w:tcPr>
          <w:p w14:paraId="50EC2BBB" w14:textId="77777777" w:rsidR="00E46110" w:rsidRDefault="00E46110" w:rsidP="00F0668B"/>
        </w:tc>
        <w:tc>
          <w:tcPr>
            <w:tcW w:w="5590" w:type="dxa"/>
            <w:shd w:val="clear" w:color="auto" w:fill="CCFFCC"/>
          </w:tcPr>
          <w:p w14:paraId="0F568F09" w14:textId="7C351003" w:rsidR="00E46110" w:rsidRDefault="0009077E" w:rsidP="00F0668B">
            <w:r>
              <w:t xml:space="preserve">Gender and culture in psychology: cultural bias </w:t>
            </w:r>
          </w:p>
        </w:tc>
        <w:tc>
          <w:tcPr>
            <w:tcW w:w="2409" w:type="dxa"/>
            <w:shd w:val="clear" w:color="auto" w:fill="CCFFCC"/>
          </w:tcPr>
          <w:p w14:paraId="06BA078B" w14:textId="04A668F4" w:rsidR="00E46110" w:rsidRDefault="001D3680" w:rsidP="00F0668B">
            <w:r>
              <w:t>58</w:t>
            </w:r>
          </w:p>
        </w:tc>
      </w:tr>
      <w:tr w:rsidR="00E46110" w14:paraId="6BBB2B19" w14:textId="77777777" w:rsidTr="00382F09">
        <w:trPr>
          <w:trHeight w:val="281"/>
        </w:trPr>
        <w:tc>
          <w:tcPr>
            <w:tcW w:w="2667" w:type="dxa"/>
            <w:vMerge/>
            <w:shd w:val="clear" w:color="auto" w:fill="CCFFCC"/>
          </w:tcPr>
          <w:p w14:paraId="46CA6178" w14:textId="77777777" w:rsidR="00E46110" w:rsidRDefault="00E46110" w:rsidP="00F0668B"/>
        </w:tc>
        <w:tc>
          <w:tcPr>
            <w:tcW w:w="5590" w:type="dxa"/>
            <w:shd w:val="clear" w:color="auto" w:fill="CCFFCC"/>
          </w:tcPr>
          <w:p w14:paraId="5D0A076B" w14:textId="1AB4301D" w:rsidR="00E46110" w:rsidRDefault="0009077E" w:rsidP="00F0668B">
            <w:r>
              <w:t xml:space="preserve">Free will and determinism </w:t>
            </w:r>
          </w:p>
        </w:tc>
        <w:tc>
          <w:tcPr>
            <w:tcW w:w="2409" w:type="dxa"/>
            <w:shd w:val="clear" w:color="auto" w:fill="CCFFCC"/>
          </w:tcPr>
          <w:p w14:paraId="64CB7101" w14:textId="7F14FBC8" w:rsidR="00E46110" w:rsidRDefault="001D3680" w:rsidP="00F0668B">
            <w:r>
              <w:t>60</w:t>
            </w:r>
          </w:p>
        </w:tc>
      </w:tr>
      <w:tr w:rsidR="00E46110" w14:paraId="39D01846" w14:textId="77777777" w:rsidTr="00382F09">
        <w:trPr>
          <w:trHeight w:val="298"/>
        </w:trPr>
        <w:tc>
          <w:tcPr>
            <w:tcW w:w="2667" w:type="dxa"/>
            <w:vMerge/>
            <w:shd w:val="clear" w:color="auto" w:fill="CCFFCC"/>
          </w:tcPr>
          <w:p w14:paraId="067141F7" w14:textId="77777777" w:rsidR="00E46110" w:rsidRDefault="00E46110" w:rsidP="00F0668B"/>
        </w:tc>
        <w:tc>
          <w:tcPr>
            <w:tcW w:w="5590" w:type="dxa"/>
            <w:shd w:val="clear" w:color="auto" w:fill="CCFFCC"/>
          </w:tcPr>
          <w:p w14:paraId="41FC5927" w14:textId="0DA6871B" w:rsidR="00E46110" w:rsidRDefault="0009077E" w:rsidP="00F0668B">
            <w:r>
              <w:t xml:space="preserve">The nature-nurture debate </w:t>
            </w:r>
          </w:p>
        </w:tc>
        <w:tc>
          <w:tcPr>
            <w:tcW w:w="2409" w:type="dxa"/>
            <w:shd w:val="clear" w:color="auto" w:fill="CCFFCC"/>
          </w:tcPr>
          <w:p w14:paraId="08F4FE65" w14:textId="630C1FC1" w:rsidR="00E46110" w:rsidRDefault="001D3680" w:rsidP="00F0668B">
            <w:r>
              <w:t>62</w:t>
            </w:r>
          </w:p>
        </w:tc>
      </w:tr>
      <w:tr w:rsidR="00E46110" w14:paraId="58C7BB7C" w14:textId="77777777" w:rsidTr="00382F09">
        <w:trPr>
          <w:trHeight w:val="298"/>
        </w:trPr>
        <w:tc>
          <w:tcPr>
            <w:tcW w:w="2667" w:type="dxa"/>
            <w:vMerge/>
            <w:shd w:val="clear" w:color="auto" w:fill="CCFFCC"/>
          </w:tcPr>
          <w:p w14:paraId="7F3FF604" w14:textId="77777777" w:rsidR="00E46110" w:rsidRDefault="00E46110" w:rsidP="00F0668B"/>
        </w:tc>
        <w:tc>
          <w:tcPr>
            <w:tcW w:w="5590" w:type="dxa"/>
            <w:shd w:val="clear" w:color="auto" w:fill="CCFFCC"/>
          </w:tcPr>
          <w:p w14:paraId="53CDE752" w14:textId="4899BD9F" w:rsidR="00E46110" w:rsidRDefault="0009077E" w:rsidP="00F0668B">
            <w:r>
              <w:t xml:space="preserve">Holism and reductionism </w:t>
            </w:r>
          </w:p>
        </w:tc>
        <w:tc>
          <w:tcPr>
            <w:tcW w:w="2409" w:type="dxa"/>
            <w:shd w:val="clear" w:color="auto" w:fill="CCFFCC"/>
          </w:tcPr>
          <w:p w14:paraId="1D3015F9" w14:textId="632B269F" w:rsidR="00E46110" w:rsidRDefault="001D3680" w:rsidP="00F0668B">
            <w:r>
              <w:t>64</w:t>
            </w:r>
          </w:p>
        </w:tc>
      </w:tr>
      <w:tr w:rsidR="00E46110" w14:paraId="372B645A" w14:textId="77777777" w:rsidTr="00382F09">
        <w:trPr>
          <w:trHeight w:val="298"/>
        </w:trPr>
        <w:tc>
          <w:tcPr>
            <w:tcW w:w="2667" w:type="dxa"/>
            <w:vMerge/>
            <w:shd w:val="clear" w:color="auto" w:fill="CCFFCC"/>
          </w:tcPr>
          <w:p w14:paraId="01706F93" w14:textId="77777777" w:rsidR="00E46110" w:rsidRDefault="00E46110" w:rsidP="00F0668B"/>
        </w:tc>
        <w:tc>
          <w:tcPr>
            <w:tcW w:w="5590" w:type="dxa"/>
            <w:shd w:val="clear" w:color="auto" w:fill="CCFFCC"/>
          </w:tcPr>
          <w:p w14:paraId="5175009D" w14:textId="4D0C5A0C" w:rsidR="00E46110" w:rsidRDefault="0009077E" w:rsidP="00F0668B">
            <w:r>
              <w:t xml:space="preserve">Ideographic and nomothetic approaches </w:t>
            </w:r>
          </w:p>
        </w:tc>
        <w:tc>
          <w:tcPr>
            <w:tcW w:w="2409" w:type="dxa"/>
            <w:shd w:val="clear" w:color="auto" w:fill="CCFFCC"/>
          </w:tcPr>
          <w:p w14:paraId="10A5794E" w14:textId="0975971A" w:rsidR="00E46110" w:rsidRDefault="001D3680" w:rsidP="00F0668B">
            <w:r>
              <w:t>66</w:t>
            </w:r>
          </w:p>
        </w:tc>
      </w:tr>
      <w:tr w:rsidR="00E46110" w14:paraId="1A350F57" w14:textId="77777777" w:rsidTr="00382F09">
        <w:trPr>
          <w:trHeight w:val="298"/>
        </w:trPr>
        <w:tc>
          <w:tcPr>
            <w:tcW w:w="2667" w:type="dxa"/>
            <w:vMerge/>
            <w:shd w:val="clear" w:color="auto" w:fill="CCFFCC"/>
          </w:tcPr>
          <w:p w14:paraId="16B5A152" w14:textId="77777777" w:rsidR="00E46110" w:rsidRDefault="00E46110" w:rsidP="00F0668B"/>
        </w:tc>
        <w:tc>
          <w:tcPr>
            <w:tcW w:w="5590" w:type="dxa"/>
            <w:shd w:val="clear" w:color="auto" w:fill="CCFFCC"/>
          </w:tcPr>
          <w:p w14:paraId="50FA8B59" w14:textId="3F688B45" w:rsidR="00E46110" w:rsidRDefault="0009077E" w:rsidP="00F0668B">
            <w:r>
              <w:t xml:space="preserve">Ethical implications of studies and theory </w:t>
            </w:r>
          </w:p>
        </w:tc>
        <w:tc>
          <w:tcPr>
            <w:tcW w:w="2409" w:type="dxa"/>
            <w:shd w:val="clear" w:color="auto" w:fill="CCFFCC"/>
          </w:tcPr>
          <w:p w14:paraId="36C0B6E4" w14:textId="7F328527" w:rsidR="00E46110" w:rsidRDefault="001D3680" w:rsidP="00F0668B">
            <w:r>
              <w:t>68</w:t>
            </w:r>
          </w:p>
        </w:tc>
      </w:tr>
      <w:tr w:rsidR="00E46110" w14:paraId="6E212BA8" w14:textId="77777777" w:rsidTr="00382F09">
        <w:trPr>
          <w:trHeight w:val="281"/>
        </w:trPr>
        <w:tc>
          <w:tcPr>
            <w:tcW w:w="2667" w:type="dxa"/>
            <w:vMerge w:val="restart"/>
            <w:shd w:val="clear" w:color="auto" w:fill="FBE4D5" w:themeFill="accent2" w:themeFillTint="33"/>
          </w:tcPr>
          <w:p w14:paraId="4919B1EA" w14:textId="502B18A9" w:rsidR="00E46110" w:rsidRPr="00382F09" w:rsidRDefault="001D3680" w:rsidP="00F0668B">
            <w:pPr>
              <w:rPr>
                <w:b/>
              </w:rPr>
            </w:pPr>
            <w:r w:rsidRPr="00382F09">
              <w:rPr>
                <w:b/>
              </w:rPr>
              <w:t xml:space="preserve">Aggression </w:t>
            </w:r>
          </w:p>
        </w:tc>
        <w:tc>
          <w:tcPr>
            <w:tcW w:w="5590" w:type="dxa"/>
            <w:shd w:val="clear" w:color="auto" w:fill="FBE4D5" w:themeFill="accent2" w:themeFillTint="33"/>
          </w:tcPr>
          <w:p w14:paraId="79CB42A2" w14:textId="205DF007" w:rsidR="00E46110" w:rsidRDefault="001D3680" w:rsidP="00F0668B">
            <w:r>
              <w:t xml:space="preserve">Neural and hormonal mechanisms in aggression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05C83EE3" w14:textId="4ECDEDD8" w:rsidR="00E46110" w:rsidRDefault="001D3680" w:rsidP="00F0668B">
            <w:r>
              <w:t>182</w:t>
            </w:r>
          </w:p>
        </w:tc>
      </w:tr>
      <w:tr w:rsidR="00E46110" w14:paraId="43436533" w14:textId="77777777" w:rsidTr="00382F09">
        <w:trPr>
          <w:trHeight w:val="298"/>
        </w:trPr>
        <w:tc>
          <w:tcPr>
            <w:tcW w:w="2667" w:type="dxa"/>
            <w:vMerge/>
            <w:shd w:val="clear" w:color="auto" w:fill="FBE4D5" w:themeFill="accent2" w:themeFillTint="33"/>
          </w:tcPr>
          <w:p w14:paraId="0994B7C8" w14:textId="77777777" w:rsidR="00E46110" w:rsidRDefault="00E46110" w:rsidP="00F0668B"/>
        </w:tc>
        <w:tc>
          <w:tcPr>
            <w:tcW w:w="5590" w:type="dxa"/>
            <w:shd w:val="clear" w:color="auto" w:fill="FBE4D5" w:themeFill="accent2" w:themeFillTint="33"/>
          </w:tcPr>
          <w:p w14:paraId="295B2EED" w14:textId="4D2A653D" w:rsidR="00E46110" w:rsidRDefault="001D3680" w:rsidP="00F0668B">
            <w:r>
              <w:t>Genetic factors in aggression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2A240793" w14:textId="156E1E40" w:rsidR="00E46110" w:rsidRDefault="001D3680" w:rsidP="00F0668B">
            <w:r>
              <w:t>184</w:t>
            </w:r>
          </w:p>
        </w:tc>
      </w:tr>
      <w:tr w:rsidR="00E46110" w14:paraId="329D8AA1" w14:textId="77777777" w:rsidTr="00382F09">
        <w:trPr>
          <w:trHeight w:val="281"/>
        </w:trPr>
        <w:tc>
          <w:tcPr>
            <w:tcW w:w="2667" w:type="dxa"/>
            <w:vMerge/>
            <w:shd w:val="clear" w:color="auto" w:fill="FBE4D5" w:themeFill="accent2" w:themeFillTint="33"/>
          </w:tcPr>
          <w:p w14:paraId="0B8E245B" w14:textId="77777777" w:rsidR="00E46110" w:rsidRDefault="00E46110" w:rsidP="00F0668B"/>
        </w:tc>
        <w:tc>
          <w:tcPr>
            <w:tcW w:w="5590" w:type="dxa"/>
            <w:shd w:val="clear" w:color="auto" w:fill="FBE4D5" w:themeFill="accent2" w:themeFillTint="33"/>
          </w:tcPr>
          <w:p w14:paraId="67156DD4" w14:textId="431A214B" w:rsidR="00E46110" w:rsidRDefault="001D3680" w:rsidP="00F0668B">
            <w:r>
              <w:t xml:space="preserve">The ethological explanation of aggression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3C2355C0" w14:textId="3C8B36DF" w:rsidR="00E46110" w:rsidRDefault="001D3680" w:rsidP="00F0668B">
            <w:r>
              <w:t>186</w:t>
            </w:r>
          </w:p>
        </w:tc>
      </w:tr>
      <w:tr w:rsidR="00E46110" w14:paraId="5037C692" w14:textId="77777777" w:rsidTr="00382F09">
        <w:trPr>
          <w:trHeight w:val="298"/>
        </w:trPr>
        <w:tc>
          <w:tcPr>
            <w:tcW w:w="2667" w:type="dxa"/>
            <w:vMerge/>
            <w:shd w:val="clear" w:color="auto" w:fill="FBE4D5" w:themeFill="accent2" w:themeFillTint="33"/>
          </w:tcPr>
          <w:p w14:paraId="60DC2132" w14:textId="77777777" w:rsidR="00E46110" w:rsidRDefault="00E46110" w:rsidP="00F0668B"/>
        </w:tc>
        <w:tc>
          <w:tcPr>
            <w:tcW w:w="5590" w:type="dxa"/>
            <w:shd w:val="clear" w:color="auto" w:fill="FBE4D5" w:themeFill="accent2" w:themeFillTint="33"/>
          </w:tcPr>
          <w:p w14:paraId="77F26BC7" w14:textId="1E328C24" w:rsidR="00E46110" w:rsidRDefault="001D3680" w:rsidP="00F0668B">
            <w:r>
              <w:t xml:space="preserve">Evolutionary explanations of human aggression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2A1DB1B9" w14:textId="43C4D6A3" w:rsidR="00E46110" w:rsidRDefault="001D3680" w:rsidP="00F0668B">
            <w:r>
              <w:t>188</w:t>
            </w:r>
          </w:p>
        </w:tc>
      </w:tr>
      <w:tr w:rsidR="00E46110" w14:paraId="72F90309" w14:textId="77777777" w:rsidTr="00382F09">
        <w:trPr>
          <w:trHeight w:val="298"/>
        </w:trPr>
        <w:tc>
          <w:tcPr>
            <w:tcW w:w="2667" w:type="dxa"/>
            <w:vMerge/>
            <w:shd w:val="clear" w:color="auto" w:fill="FBE4D5" w:themeFill="accent2" w:themeFillTint="33"/>
          </w:tcPr>
          <w:p w14:paraId="06C9AA01" w14:textId="77777777" w:rsidR="00E46110" w:rsidRDefault="00E46110" w:rsidP="00F0668B"/>
        </w:tc>
        <w:tc>
          <w:tcPr>
            <w:tcW w:w="5590" w:type="dxa"/>
            <w:shd w:val="clear" w:color="auto" w:fill="FBE4D5" w:themeFill="accent2" w:themeFillTint="33"/>
          </w:tcPr>
          <w:p w14:paraId="018BAF79" w14:textId="1F476F9C" w:rsidR="00E46110" w:rsidRDefault="001D3680" w:rsidP="00F0668B">
            <w:r>
              <w:t xml:space="preserve">Social psychological explanations: Frustration- aggression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66D776E4" w14:textId="716B0BF2" w:rsidR="00E46110" w:rsidRDefault="001D3680" w:rsidP="00F0668B">
            <w:r>
              <w:t>190</w:t>
            </w:r>
          </w:p>
        </w:tc>
      </w:tr>
      <w:tr w:rsidR="00E46110" w14:paraId="69E5F19F" w14:textId="77777777" w:rsidTr="00382F09">
        <w:trPr>
          <w:trHeight w:val="298"/>
        </w:trPr>
        <w:tc>
          <w:tcPr>
            <w:tcW w:w="2667" w:type="dxa"/>
            <w:vMerge/>
            <w:shd w:val="clear" w:color="auto" w:fill="FBE4D5" w:themeFill="accent2" w:themeFillTint="33"/>
          </w:tcPr>
          <w:p w14:paraId="55F65F63" w14:textId="77777777" w:rsidR="00E46110" w:rsidRDefault="00E46110" w:rsidP="00F0668B"/>
        </w:tc>
        <w:tc>
          <w:tcPr>
            <w:tcW w:w="5590" w:type="dxa"/>
            <w:shd w:val="clear" w:color="auto" w:fill="FBE4D5" w:themeFill="accent2" w:themeFillTint="33"/>
          </w:tcPr>
          <w:p w14:paraId="67B64130" w14:textId="0B5AE671" w:rsidR="00E46110" w:rsidRDefault="001D3680" w:rsidP="00F0668B">
            <w:r>
              <w:t xml:space="preserve">Social psychological explanations: SLT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55EFC1AD" w14:textId="32B62FDC" w:rsidR="00E46110" w:rsidRDefault="001D3680" w:rsidP="00F0668B">
            <w:r>
              <w:t>192</w:t>
            </w:r>
          </w:p>
        </w:tc>
      </w:tr>
      <w:tr w:rsidR="00E46110" w14:paraId="327B7C05" w14:textId="77777777" w:rsidTr="00382F09">
        <w:trPr>
          <w:trHeight w:val="298"/>
        </w:trPr>
        <w:tc>
          <w:tcPr>
            <w:tcW w:w="2667" w:type="dxa"/>
            <w:vMerge/>
            <w:shd w:val="clear" w:color="auto" w:fill="FBE4D5" w:themeFill="accent2" w:themeFillTint="33"/>
          </w:tcPr>
          <w:p w14:paraId="3573508E" w14:textId="77777777" w:rsidR="00E46110" w:rsidRDefault="00E46110" w:rsidP="00F0668B"/>
        </w:tc>
        <w:tc>
          <w:tcPr>
            <w:tcW w:w="5590" w:type="dxa"/>
            <w:shd w:val="clear" w:color="auto" w:fill="FBE4D5" w:themeFill="accent2" w:themeFillTint="33"/>
          </w:tcPr>
          <w:p w14:paraId="23E631BA" w14:textId="394740A3" w:rsidR="00E46110" w:rsidRDefault="001D3680" w:rsidP="00F0668B">
            <w:r>
              <w:t xml:space="preserve">Social psychological explanations: De-individuation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510E73C0" w14:textId="1256E8F6" w:rsidR="00E46110" w:rsidRDefault="001D3680" w:rsidP="00F0668B">
            <w:r>
              <w:t>194</w:t>
            </w:r>
          </w:p>
        </w:tc>
      </w:tr>
      <w:tr w:rsidR="00E46110" w14:paraId="2B6A6C82" w14:textId="77777777" w:rsidTr="00382F09">
        <w:trPr>
          <w:trHeight w:val="298"/>
        </w:trPr>
        <w:tc>
          <w:tcPr>
            <w:tcW w:w="2667" w:type="dxa"/>
            <w:vMerge/>
            <w:shd w:val="clear" w:color="auto" w:fill="FBE4D5" w:themeFill="accent2" w:themeFillTint="33"/>
          </w:tcPr>
          <w:p w14:paraId="46519B8A" w14:textId="77777777" w:rsidR="00E46110" w:rsidRDefault="00E46110" w:rsidP="00F0668B"/>
        </w:tc>
        <w:tc>
          <w:tcPr>
            <w:tcW w:w="5590" w:type="dxa"/>
            <w:shd w:val="clear" w:color="auto" w:fill="FBE4D5" w:themeFill="accent2" w:themeFillTint="33"/>
          </w:tcPr>
          <w:p w14:paraId="43C8E12A" w14:textId="7D8780E8" w:rsidR="00E46110" w:rsidRDefault="001D3680" w:rsidP="00F0668B">
            <w:r>
              <w:t xml:space="preserve">Institutional aggression in the context of prisons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0C72CE8B" w14:textId="2B33D745" w:rsidR="00E46110" w:rsidRDefault="001D3680" w:rsidP="00F0668B">
            <w:r>
              <w:t>196</w:t>
            </w:r>
          </w:p>
        </w:tc>
      </w:tr>
      <w:tr w:rsidR="00E46110" w14:paraId="777D6BB7" w14:textId="77777777" w:rsidTr="00382F09">
        <w:trPr>
          <w:trHeight w:val="298"/>
        </w:trPr>
        <w:tc>
          <w:tcPr>
            <w:tcW w:w="2667" w:type="dxa"/>
            <w:vMerge/>
            <w:shd w:val="clear" w:color="auto" w:fill="FBE4D5" w:themeFill="accent2" w:themeFillTint="33"/>
          </w:tcPr>
          <w:p w14:paraId="2CD1920B" w14:textId="77777777" w:rsidR="00E46110" w:rsidRDefault="00E46110" w:rsidP="00F0668B"/>
        </w:tc>
        <w:tc>
          <w:tcPr>
            <w:tcW w:w="5590" w:type="dxa"/>
            <w:shd w:val="clear" w:color="auto" w:fill="FBE4D5" w:themeFill="accent2" w:themeFillTint="33"/>
          </w:tcPr>
          <w:p w14:paraId="7EDC692A" w14:textId="5269405D" w:rsidR="00E46110" w:rsidRDefault="001D3680" w:rsidP="00F0668B">
            <w:r>
              <w:t xml:space="preserve">Media influences: effects of computer games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68BB60CC" w14:textId="7ED64ADA" w:rsidR="00E46110" w:rsidRDefault="001D3680" w:rsidP="00F0668B">
            <w:r>
              <w:t>198</w:t>
            </w:r>
          </w:p>
        </w:tc>
      </w:tr>
      <w:tr w:rsidR="00E46110" w14:paraId="2DFF9D52" w14:textId="77777777" w:rsidTr="00382F09">
        <w:trPr>
          <w:trHeight w:val="298"/>
        </w:trPr>
        <w:tc>
          <w:tcPr>
            <w:tcW w:w="2667" w:type="dxa"/>
            <w:vMerge/>
            <w:shd w:val="clear" w:color="auto" w:fill="FBE4D5" w:themeFill="accent2" w:themeFillTint="33"/>
          </w:tcPr>
          <w:p w14:paraId="219A441E" w14:textId="77777777" w:rsidR="00E46110" w:rsidRDefault="00E46110" w:rsidP="00F0668B"/>
        </w:tc>
        <w:tc>
          <w:tcPr>
            <w:tcW w:w="5590" w:type="dxa"/>
            <w:shd w:val="clear" w:color="auto" w:fill="FBE4D5" w:themeFill="accent2" w:themeFillTint="33"/>
          </w:tcPr>
          <w:p w14:paraId="3633F775" w14:textId="2AD701D5" w:rsidR="00E46110" w:rsidRDefault="001D3680" w:rsidP="00F0668B">
            <w:r>
              <w:t xml:space="preserve">Media influences 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02A92511" w14:textId="7E0296C3" w:rsidR="00E46110" w:rsidRDefault="001D3680" w:rsidP="00F0668B">
            <w:r>
              <w:t>200</w:t>
            </w:r>
          </w:p>
        </w:tc>
      </w:tr>
      <w:tr w:rsidR="00E46110" w14:paraId="49FD37A1" w14:textId="77777777" w:rsidTr="00382F09">
        <w:trPr>
          <w:trHeight w:val="281"/>
        </w:trPr>
        <w:tc>
          <w:tcPr>
            <w:tcW w:w="2667" w:type="dxa"/>
            <w:vMerge w:val="restart"/>
            <w:shd w:val="clear" w:color="auto" w:fill="EDEDED" w:themeFill="accent3" w:themeFillTint="33"/>
          </w:tcPr>
          <w:p w14:paraId="4096F06C" w14:textId="44247FAF" w:rsidR="00E46110" w:rsidRPr="00382F09" w:rsidRDefault="000921DD" w:rsidP="00F0668B">
            <w:pPr>
              <w:rPr>
                <w:b/>
              </w:rPr>
            </w:pPr>
            <w:r w:rsidRPr="00382F09">
              <w:rPr>
                <w:b/>
              </w:rPr>
              <w:t xml:space="preserve">Research methods </w:t>
            </w:r>
          </w:p>
        </w:tc>
        <w:tc>
          <w:tcPr>
            <w:tcW w:w="5590" w:type="dxa"/>
            <w:shd w:val="clear" w:color="auto" w:fill="EDEDED" w:themeFill="accent3" w:themeFillTint="33"/>
          </w:tcPr>
          <w:p w14:paraId="799228BC" w14:textId="474335AA" w:rsidR="00E46110" w:rsidRDefault="000921DD" w:rsidP="00F0668B">
            <w:r>
              <w:t xml:space="preserve">Correlations 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14:paraId="7731BBC4" w14:textId="786E9378" w:rsidR="00E46110" w:rsidRDefault="000921DD" w:rsidP="00F0668B">
            <w:r>
              <w:t>44</w:t>
            </w:r>
          </w:p>
        </w:tc>
      </w:tr>
      <w:tr w:rsidR="00E46110" w14:paraId="57F9B9A2" w14:textId="77777777" w:rsidTr="00382F09">
        <w:trPr>
          <w:trHeight w:val="298"/>
        </w:trPr>
        <w:tc>
          <w:tcPr>
            <w:tcW w:w="2667" w:type="dxa"/>
            <w:vMerge/>
            <w:shd w:val="clear" w:color="auto" w:fill="EDEDED" w:themeFill="accent3" w:themeFillTint="33"/>
          </w:tcPr>
          <w:p w14:paraId="124BE4D9" w14:textId="77777777" w:rsidR="00E46110" w:rsidRDefault="00E46110" w:rsidP="00F0668B"/>
        </w:tc>
        <w:tc>
          <w:tcPr>
            <w:tcW w:w="5590" w:type="dxa"/>
            <w:shd w:val="clear" w:color="auto" w:fill="EDEDED" w:themeFill="accent3" w:themeFillTint="33"/>
          </w:tcPr>
          <w:p w14:paraId="049705A5" w14:textId="451C6532" w:rsidR="00E46110" w:rsidRDefault="000921DD" w:rsidP="00F0668B">
            <w:r>
              <w:t>Case studies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14:paraId="30C02FE2" w14:textId="4CA5F2FD" w:rsidR="00E46110" w:rsidRDefault="000921DD" w:rsidP="00F0668B">
            <w:r>
              <w:t>46</w:t>
            </w:r>
          </w:p>
        </w:tc>
      </w:tr>
      <w:tr w:rsidR="00E46110" w14:paraId="67679E49" w14:textId="77777777" w:rsidTr="00382F09">
        <w:trPr>
          <w:trHeight w:val="281"/>
        </w:trPr>
        <w:tc>
          <w:tcPr>
            <w:tcW w:w="2667" w:type="dxa"/>
            <w:vMerge/>
            <w:shd w:val="clear" w:color="auto" w:fill="EDEDED" w:themeFill="accent3" w:themeFillTint="33"/>
          </w:tcPr>
          <w:p w14:paraId="22534F19" w14:textId="77777777" w:rsidR="00E46110" w:rsidRDefault="00E46110" w:rsidP="00F0668B"/>
        </w:tc>
        <w:tc>
          <w:tcPr>
            <w:tcW w:w="5590" w:type="dxa"/>
            <w:shd w:val="clear" w:color="auto" w:fill="EDEDED" w:themeFill="accent3" w:themeFillTint="33"/>
          </w:tcPr>
          <w:p w14:paraId="710E445A" w14:textId="6D62F9B7" w:rsidR="00E46110" w:rsidRDefault="000921DD" w:rsidP="00F0668B">
            <w:r>
              <w:t>Reliability across all methods of investigation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14:paraId="4B611B78" w14:textId="1567A79C" w:rsidR="00E46110" w:rsidRDefault="000921DD" w:rsidP="00F0668B">
            <w:r>
              <w:t>48</w:t>
            </w:r>
          </w:p>
        </w:tc>
      </w:tr>
      <w:tr w:rsidR="00E46110" w14:paraId="4CF53A10" w14:textId="77777777" w:rsidTr="00382F09">
        <w:trPr>
          <w:trHeight w:val="298"/>
        </w:trPr>
        <w:tc>
          <w:tcPr>
            <w:tcW w:w="2667" w:type="dxa"/>
            <w:vMerge/>
            <w:shd w:val="clear" w:color="auto" w:fill="EDEDED" w:themeFill="accent3" w:themeFillTint="33"/>
          </w:tcPr>
          <w:p w14:paraId="0D30529B" w14:textId="77777777" w:rsidR="00E46110" w:rsidRDefault="00E46110" w:rsidP="00F0668B"/>
        </w:tc>
        <w:tc>
          <w:tcPr>
            <w:tcW w:w="5590" w:type="dxa"/>
            <w:shd w:val="clear" w:color="auto" w:fill="EDEDED" w:themeFill="accent3" w:themeFillTint="33"/>
          </w:tcPr>
          <w:p w14:paraId="11DDAFFF" w14:textId="13CF4406" w:rsidR="00E46110" w:rsidRDefault="000921DD" w:rsidP="00F0668B">
            <w:r>
              <w:t>Statistical testing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14:paraId="00B57925" w14:textId="4495BB07" w:rsidR="00E46110" w:rsidRDefault="000921DD" w:rsidP="00F0668B">
            <w:r>
              <w:t>50</w:t>
            </w:r>
          </w:p>
        </w:tc>
      </w:tr>
      <w:tr w:rsidR="00E46110" w14:paraId="1EE18429" w14:textId="77777777" w:rsidTr="00382F09">
        <w:trPr>
          <w:trHeight w:val="298"/>
        </w:trPr>
        <w:tc>
          <w:tcPr>
            <w:tcW w:w="2667" w:type="dxa"/>
            <w:vMerge/>
            <w:shd w:val="clear" w:color="auto" w:fill="EDEDED" w:themeFill="accent3" w:themeFillTint="33"/>
          </w:tcPr>
          <w:p w14:paraId="76C14570" w14:textId="77777777" w:rsidR="00E46110" w:rsidRDefault="00E46110" w:rsidP="00F0668B"/>
        </w:tc>
        <w:tc>
          <w:tcPr>
            <w:tcW w:w="5590" w:type="dxa"/>
            <w:shd w:val="clear" w:color="auto" w:fill="EDEDED" w:themeFill="accent3" w:themeFillTint="33"/>
          </w:tcPr>
          <w:p w14:paraId="6F91C5E2" w14:textId="1171566D" w:rsidR="00E46110" w:rsidRDefault="000921DD" w:rsidP="00F0668B">
            <w:r>
              <w:t xml:space="preserve">Inferential tests and testing 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14:paraId="46615408" w14:textId="3F34CD97" w:rsidR="00E46110" w:rsidRDefault="000921DD" w:rsidP="00F0668B">
            <w:r>
              <w:t>52</w:t>
            </w:r>
          </w:p>
        </w:tc>
      </w:tr>
      <w:tr w:rsidR="00E46110" w14:paraId="1D8AFDA4" w14:textId="77777777" w:rsidTr="00382F09">
        <w:trPr>
          <w:trHeight w:val="298"/>
        </w:trPr>
        <w:tc>
          <w:tcPr>
            <w:tcW w:w="2667" w:type="dxa"/>
            <w:vMerge/>
            <w:shd w:val="clear" w:color="auto" w:fill="EDEDED" w:themeFill="accent3" w:themeFillTint="33"/>
          </w:tcPr>
          <w:p w14:paraId="4C97D6C9" w14:textId="77777777" w:rsidR="00E46110" w:rsidRDefault="00E46110" w:rsidP="00F0668B"/>
        </w:tc>
        <w:tc>
          <w:tcPr>
            <w:tcW w:w="5590" w:type="dxa"/>
            <w:shd w:val="clear" w:color="auto" w:fill="EDEDED" w:themeFill="accent3" w:themeFillTint="33"/>
          </w:tcPr>
          <w:p w14:paraId="7817B834" w14:textId="440D4892" w:rsidR="00E46110" w:rsidRDefault="000921DD" w:rsidP="00F0668B">
            <w:r>
              <w:t>Reporting psychological investigations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14:paraId="4102A544" w14:textId="67BFEFB9" w:rsidR="00E46110" w:rsidRDefault="000921DD" w:rsidP="00F0668B">
            <w:r>
              <w:t>54</w:t>
            </w:r>
          </w:p>
        </w:tc>
      </w:tr>
    </w:tbl>
    <w:p w14:paraId="3655A3AF" w14:textId="77777777" w:rsidR="00C269A6" w:rsidRDefault="00E53EF4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09077E"/>
    <w:rsid w:val="000921DD"/>
    <w:rsid w:val="001D04BB"/>
    <w:rsid w:val="001D3680"/>
    <w:rsid w:val="00266030"/>
    <w:rsid w:val="002D5C57"/>
    <w:rsid w:val="00382F09"/>
    <w:rsid w:val="003A72A2"/>
    <w:rsid w:val="00443232"/>
    <w:rsid w:val="008A03AA"/>
    <w:rsid w:val="00926931"/>
    <w:rsid w:val="00C87289"/>
    <w:rsid w:val="00E46110"/>
    <w:rsid w:val="00E53EF4"/>
    <w:rsid w:val="00F2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Riam Muayad</cp:lastModifiedBy>
  <cp:revision>7</cp:revision>
  <dcterms:created xsi:type="dcterms:W3CDTF">2018-03-15T09:08:00Z</dcterms:created>
  <dcterms:modified xsi:type="dcterms:W3CDTF">2018-03-15T15:54:00Z</dcterms:modified>
</cp:coreProperties>
</file>